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80" w:lineRule="atLeast"/>
        <w:ind w:firstLine="420"/>
        <w:jc w:val="center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80" w:lineRule="atLeast"/>
        <w:ind w:firstLine="420"/>
        <w:jc w:val="center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80" w:lineRule="atLeast"/>
        <w:ind w:firstLine="420"/>
        <w:jc w:val="center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闽工办〔2018〕22号</w:t>
      </w:r>
    </w:p>
    <w:p>
      <w:pPr>
        <w:pStyle w:val="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1000" w:lineRule="atLeast"/>
        <w:ind w:firstLine="420"/>
        <w:jc w:val="center"/>
        <w:rPr>
          <w:rFonts w:ascii="宋体" w:eastAsia="宋体" w:hint="eastAsia"/>
          <w:vanish w:val="0"/>
          <w:sz w:val="32"/>
          <w:szCs w:val="32"/>
        </w:rPr>
      </w:pP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pacing w:val="0"/>
          <w:sz w:val="44"/>
          <w:szCs w:val="44"/>
        </w:rPr>
        <w:t>福建省总工会办公室关于印发</w:t>
      </w:r>
      <w:r>
        <w:rPr>
          <w:rFonts w:ascii="宋体" w:eastAsia="宋体" w:hint="eastAsia"/>
          <w:b/>
          <w:bCs/>
          <w:vanish w:val="0"/>
          <w:sz w:val="44"/>
          <w:szCs w:val="44"/>
        </w:rPr>
        <w:t>《福建省总工会关于贯彻落实</w:t>
      </w:r>
      <w:r>
        <w:rPr>
          <w:rFonts w:ascii="Times New Roman" w:eastAsia="宋体" w:hAnsi="Times New Roman"/>
          <w:b/>
          <w:bCs/>
          <w:vanish w:val="0"/>
          <w:sz w:val="44"/>
          <w:szCs w:val="44"/>
        </w:rPr>
        <w:t>&lt;</w:t>
      </w:r>
      <w:r>
        <w:rPr>
          <w:rFonts w:ascii="宋体" w:eastAsia="宋体" w:hint="eastAsia"/>
          <w:b/>
          <w:bCs/>
          <w:vanish w:val="0"/>
          <w:sz w:val="44"/>
          <w:szCs w:val="44"/>
        </w:rPr>
        <w:t>福建省省直机关培训费</w:t>
      </w: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jc w:val="center"/>
        <w:rPr>
          <w:rFonts w:ascii="宋体" w:eastAsia="宋体" w:hint="eastAsia"/>
          <w:b/>
          <w:bCs/>
          <w:vanish w:val="0"/>
          <w:spacing w:val="6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管理办法</w:t>
      </w:r>
      <w:r>
        <w:rPr>
          <w:rFonts w:ascii="Times New Roman" w:eastAsia="宋体" w:hAnsi="Times New Roman"/>
          <w:b/>
          <w:bCs/>
          <w:vanish w:val="0"/>
          <w:sz w:val="44"/>
          <w:szCs w:val="44"/>
        </w:rPr>
        <w:t>&gt;</w:t>
      </w:r>
      <w:r>
        <w:rPr>
          <w:rFonts w:ascii="宋体" w:eastAsia="宋体" w:hint="eastAsia"/>
          <w:b/>
          <w:bCs/>
          <w:vanish w:val="0"/>
          <w:sz w:val="44"/>
          <w:szCs w:val="44"/>
        </w:rPr>
        <w:t>的实施办法》</w:t>
      </w:r>
      <w:r>
        <w:rPr>
          <w:rFonts w:ascii="宋体" w:eastAsia="宋体" w:hint="eastAsia"/>
          <w:b/>
          <w:bCs/>
          <w:vanish w:val="0"/>
          <w:spacing w:val="6"/>
          <w:sz w:val="44"/>
          <w:szCs w:val="44"/>
        </w:rPr>
        <w:t>的通知</w:t>
      </w:r>
    </w:p>
    <w:p>
      <w:pPr>
        <w:pStyle w:val="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b/>
          <w:bCs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省总工会机关各部室,有关省级产业工会，各直属事业单位：</w:t>
      </w: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现将《福建省总工会关于贯彻落实&lt;福建省省直机关培训费管理办法&gt;的实施办法》印发给你们，请遵照执行。</w:t>
      </w: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 w:val="0"/>
        <w:overflowPunct/>
        <w:topLinePunct w:val="0"/>
        <w:autoSpaceDE/>
        <w:autoSpaceDN/>
        <w:spacing w:before="0" w:beforeAutospacing="0" w:after="0" w:afterAutospacing="0" w:line="600" w:lineRule="atLeast"/>
        <w:ind w:firstLine="4000"/>
        <w:jc w:val="right"/>
        <w:rPr>
          <w:rFonts w:ascii="宋体" w:eastAsia="宋体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福建省总工会办公室</w:t>
      </w:r>
      <w:r>
        <w:rPr>
          <w:rFonts w:ascii="Times New Roman" w:hAnsi="Times New Roman"/>
          <w:vanish w:val="0"/>
          <w:sz w:val="32"/>
          <w:szCs w:val="32"/>
        </w:rPr>
        <w:t xml:space="preserve"> </w:t>
      </w:r>
      <w:r>
        <w:rPr>
          <w:rFonts w:ascii="宋体" w:eastAsia="宋体" w:hint="eastAsia"/>
          <w:vanish w:val="0"/>
          <w:sz w:val="32"/>
          <w:szCs w:val="32"/>
        </w:rPr>
        <w:t xml:space="preserve">   </w:t>
      </w: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仿宋_GB2312" w:eastAsia="仿宋_GB2312" w:hint="eastAsia"/>
          <w:vanish w:val="0"/>
          <w:sz w:val="32"/>
          <w:szCs w:val="32"/>
        </w:rPr>
        <w:t xml:space="preserve">                                     2018年3月28日   </w:t>
      </w:r>
    </w:p>
    <w:p>
      <w:pPr>
        <w:pStyle w:val="1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jc w:val="center"/>
        <w:rPr>
          <w:rFonts w:ascii="宋体" w:eastAsia="宋体" w:hint="eastAsia"/>
          <w:vanish w:val="0"/>
          <w:sz w:val="44"/>
          <w:szCs w:val="44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福建省总工会关于贯彻落实《福建省省直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jc w:val="center"/>
        <w:rPr>
          <w:rFonts w:ascii="宋体" w:eastAsia="宋体" w:hint="eastAsia"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机关培训费管理办法》的实施办法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80" w:lineRule="atLeast"/>
        <w:ind w:firstLine="64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为贯彻落实《福建省省直机关培训费管理办法》（闽财行〔2017〕18号），规范省总工会机关及直属事业单位培训工作管理，结合我会实际制定本实施办法。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一、培训工作实行归口管理，省总工会组织部负责培训工作计划管理、省总工会财务部负责经费预算、决算和收支管理。各部门每年根据省总工会组织部通知要求，报送下年度培训项目计划。因工作需要确需临时增加培训项目，应经省总工会主要领导审批后按有关规定执行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二、培训班分主体班、部门班及其它班。主体班由省总工会干部学校（以下简称省总干校）负责实施，计入省总干校工作量；部门班及其它班由办班部门负责，省总干校配合实施，预算统一下达给省总干校。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三、邀请境内老师讲课，应当发出授课邀请函（见附件1），授课老师住宿费、伙食费、城市间交通费需在授课邀请函上明确注明由谁承担。邀请的老师及授课题目，应经举办部门（单位）分管领导审批。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四、省总工会人员外出授课（包含为下级工会授课，下同）需填报外出授课审批表（见附件3）。机关科级及以下干部外出授课须由分管领导审批，处级及以上干部由分管领导审核后报党组书记审批。事业单位非负责人的处级干部外出授课由分管领导审批，负责人由分管领导审核后报党组书记审批。审批表交组织部存档备查。事业单位所属科级及以下干部外出授课由单位负责人审批，审批表由本单位存档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五、培训举办单位不承担授课老师往返日的伙食补贴和交通补助。授课人员不可回原单位报销往返日的伙食补贴和交通补助。为本单位授课，如已领取讲课费的，不再报销往返日的伙食补贴和交通补助，城市间交通费由培训班承担；如未领取授课费，可按差旅费规定报销往返日的伙食补贴和交通补助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六、讲课费按实际发生的学时计算，每半天最多按4学时，每学时为45分钟。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机关、事业行政人员讲课费参照以下标准执行：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科级及以下人员参照中级技术职称及以下专业人员；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处级人员参照副高级技术职称专业人员；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厅级人员参照正高级技术职称专业人员；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省部级人员参照院士、全国知名专家。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color w:val="auto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邀请异地（含境外）授课老师，需填报邀请异地（含境外）授课老师审批表（见附件2），异地是指培训所在地之外的地点。从异地邀请授课老师</w:t>
      </w:r>
      <w:r>
        <w:rPr>
          <w:rFonts w:ascii="仿宋_GB2312" w:eastAsia="仿宋_GB2312" w:hint="eastAsia"/>
          <w:vanish w:val="0"/>
          <w:color w:val="auto"/>
          <w:sz w:val="32"/>
          <w:szCs w:val="32"/>
        </w:rPr>
        <w:t>，路途时间较长的，经单位主要领导批准，讲课费可以适当增加。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color w:val="auto"/>
          <w:sz w:val="32"/>
          <w:szCs w:val="32"/>
        </w:rPr>
        <w:t>为本单位举办的培训班授课，讲课费按照规定的标准50%领取，该培训班包含本部门、单位其他业务部门举办的培训班。省纪委驻省总工会纪检组、省总干校人员给省总工会举办的培训班授课，属为本单位举</w:t>
      </w:r>
      <w:r>
        <w:rPr>
          <w:rFonts w:ascii="仿宋_GB2312" w:eastAsia="仿宋_GB2312" w:hint="eastAsia"/>
          <w:vanish w:val="0"/>
          <w:sz w:val="32"/>
          <w:szCs w:val="32"/>
        </w:rPr>
        <w:t>办的培训班授课范畴。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省总工会下达给省总干校培训计划的主体班，省总干校老师不领取授课费。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七、培训费中的其他费用是指现场教学费、设备租赁费、医药费等与培训有关的其他支出。现场教学费包含讲解费，不包含现场教学点的门票、茶点费以及相关内容的演出费等。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八、培训类别是以参训人员的行政职级划分，该级别的人员比例应≥50%。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九、培训通知由举办培训的业务部门和省总工会组织部、省总干校共同发文。各单位开展的培训，应当在开支范围和标准内，严格按照年度培训计划确定的时间、地点举办。部门班</w:t>
      </w:r>
      <w:r>
        <w:rPr>
          <w:rFonts w:ascii="仿宋_GB2312" w:eastAsia="仿宋_GB2312" w:hint="eastAsia"/>
          <w:vanish w:val="0"/>
          <w:spacing w:val="-12"/>
          <w:sz w:val="32"/>
          <w:szCs w:val="32"/>
        </w:rPr>
        <w:t>及其它班因特殊情况计划要调整的，须经省总工会主要领导审批。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0"/>
          <w:szCs w:val="30"/>
        </w:rPr>
      </w:pPr>
      <w:r>
        <w:rPr>
          <w:rFonts w:ascii="仿宋_GB2312" w:eastAsia="仿宋_GB2312" w:hint="eastAsia"/>
          <w:vanish w:val="0"/>
          <w:sz w:val="32"/>
          <w:szCs w:val="32"/>
        </w:rPr>
        <w:t>十、培训的天数是指培训班上课的实际天数加上报到离开时间，即培训班实际上课天数加上1天</w:t>
      </w:r>
      <w:r>
        <w:rPr>
          <w:rFonts w:ascii="仿宋_GB2312" w:eastAsia="仿宋_GB2312" w:hint="eastAsia"/>
          <w:vanish w:val="0"/>
          <w:sz w:val="30"/>
          <w:szCs w:val="30"/>
        </w:rPr>
        <w:t>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十一、培训费由培训举办单位承担，不得向参训人员收取任何费用；参训人员不可开据费用票据回原单位报销。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十二、省总工会机关财务按季度在机关公示栏、机关内网公示培训班情况（培训项目、内容、时间、地点、人数、经费等，见附件4）。省总工会直属事业单位应按季度公示培训班情况。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十三、省总工会组织的因公出国（境）的外事活动教育培训，按外事相关规定执行。纳入省委组织部、省公务员局组织的统一培训计划的培训，不适用《福建省省直机关培训费管理办法》和本实施办法，按有关规定执行。</w:t>
      </w:r>
    </w:p>
    <w:p>
      <w:pPr>
        <w:pStyle w:val="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 w:val="0"/>
        <w:spacing w:before="0" w:beforeAutospacing="0" w:after="0" w:afterAutospacing="0" w:line="580" w:lineRule="atLeast"/>
        <w:ind w:firstLine="64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十四、本实施办法由省总工会财务资产管理部负责解释和修订。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附件:1.授课邀请函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     2.邀请异地老师授课审批表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vanish w:val="0"/>
          <w:color w:val="auto"/>
          <w:sz w:val="32"/>
          <w:szCs w:val="32"/>
        </w:rPr>
        <w:t xml:space="preserve">         3.省总工会干部外出授课审批表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     4.培训情况表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     5.讲课费领取单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     6.培训费预算单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vanish w:val="0"/>
          <w:sz w:val="32"/>
          <w:szCs w:val="32"/>
        </w:rPr>
        <w:t xml:space="preserve">         7.培训费结算单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黑体" w:eastAsia="黑体" w:hint="eastAsia"/>
          <w:b w:val="0"/>
          <w:bCs w:val="0"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附件1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黑体" w:eastAsia="黑体" w:hint="eastAsia"/>
          <w:b w:val="0"/>
          <w:bCs w:val="0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授课邀请函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  <w:u w:val="single"/>
        </w:rPr>
      </w:pP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 (单位)      </w:t>
      </w:r>
      <w:r>
        <w:rPr>
          <w:rFonts w:ascii="仿宋_GB2312" w:eastAsia="仿宋_GB2312" w:hint="eastAsia"/>
          <w:vanish w:val="0"/>
          <w:sz w:val="32"/>
          <w:szCs w:val="32"/>
        </w:rPr>
        <w:t>：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我单位拟在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（地点）       </w:t>
      </w:r>
      <w:r>
        <w:rPr>
          <w:rFonts w:ascii="仿宋_GB2312" w:eastAsia="仿宋_GB2312" w:hint="eastAsia"/>
          <w:vanish w:val="0"/>
          <w:sz w:val="32"/>
          <w:szCs w:val="32"/>
        </w:rPr>
        <w:t>举办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vanish w:val="0"/>
          <w:sz w:val="32"/>
          <w:szCs w:val="32"/>
        </w:rPr>
        <w:t>培训班，现拟邀请你单位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vanish w:val="0"/>
          <w:sz w:val="32"/>
          <w:szCs w:val="32"/>
        </w:rPr>
        <w:t>同志于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vanish w:val="0"/>
          <w:sz w:val="32"/>
          <w:szCs w:val="32"/>
        </w:rPr>
        <w:t>月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vanish w:val="0"/>
          <w:sz w:val="32"/>
          <w:szCs w:val="32"/>
        </w:rPr>
        <w:t>日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vanish w:val="0"/>
          <w:sz w:val="32"/>
          <w:szCs w:val="32"/>
        </w:rPr>
        <w:t>就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（授课内容）         </w:t>
      </w:r>
      <w:r>
        <w:rPr>
          <w:rFonts w:ascii="仿宋_GB2312" w:eastAsia="仿宋_GB2312" w:hint="eastAsia"/>
          <w:vanish w:val="0"/>
          <w:sz w:val="32"/>
          <w:szCs w:val="32"/>
        </w:rPr>
        <w:t>为培训班做专题授课。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vanish w:val="0"/>
          <w:sz w:val="32"/>
          <w:szCs w:val="32"/>
        </w:rPr>
        <w:t>同志往返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vanish w:val="0"/>
          <w:sz w:val="32"/>
          <w:szCs w:val="32"/>
        </w:rPr>
        <w:t>和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vanish w:val="0"/>
          <w:sz w:val="32"/>
          <w:szCs w:val="32"/>
        </w:rPr>
        <w:t>之间的交通费及授课期间的住宿费、伙食费由</w:t>
      </w:r>
      <w:r>
        <w:rPr>
          <w:rFonts w:ascii="仿宋_GB2312" w:eastAsia="仿宋_GB2312" w:hint="eastAsia"/>
          <w:vanish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vanish w:val="0"/>
          <w:sz w:val="32"/>
          <w:szCs w:val="32"/>
        </w:rPr>
        <w:t>承担。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6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敬请支持！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ind w:firstLine="645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（联系人：      联系电话：          ）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 xml:space="preserve">                                          XXX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600" w:lineRule="atLeast"/>
        <w:jc w:val="right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年    月    日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附件2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spacing w:before="0" w:beforeAutospacing="0" w:after="0" w:afterAutospacing="0" w:line="500" w:lineRule="atLeast"/>
        <w:rPr>
          <w:rFonts w:ascii="宋体" w:eastAsia="宋体" w:hint="eastAsia"/>
          <w:b/>
          <w:bCs/>
          <w:vanish w:val="0"/>
          <w:sz w:val="32"/>
          <w:szCs w:val="32"/>
        </w:rPr>
      </w:pPr>
    </w:p>
    <w:tbl>
      <w:tblPr>
        <w:jc w:val="left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1411"/>
        <w:gridCol w:w="1080"/>
        <w:gridCol w:w="1080"/>
        <w:gridCol w:w="1420"/>
        <w:gridCol w:w="1897"/>
      </w:tblGrid>
      <w:tr>
        <w:trPr>
          <w:trHeight w:val="780"/>
        </w:trPr>
        <w:tc>
          <w:tcPr>
            <w:tcW w:w="835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宋体" w:eastAsia="宋体" w:hint="eastAsia"/>
                <w:b/>
                <w:bCs/>
                <w:vanish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bCs/>
                <w:vanish w:val="0"/>
                <w:sz w:val="44"/>
                <w:szCs w:val="44"/>
              </w:rPr>
              <w:t>邀请异地老师授课审批表</w:t>
            </w:r>
          </w:p>
        </w:tc>
      </w:tr>
      <w:tr>
        <w:trPr>
          <w:trHeight w:val="9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老师姓名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单位及职务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</w:tr>
      <w:tr>
        <w:trPr>
          <w:trHeight w:val="113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培训项目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名称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</w:tr>
      <w:tr>
        <w:trPr>
          <w:trHeight w:val="117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授课内容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</w:tr>
      <w:tr>
        <w:trPr>
          <w:trHeight w:val="95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授课时间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 课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地 点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</w:tr>
      <w:tr>
        <w:trPr>
          <w:trHeight w:val="101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讲课费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标准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 课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课 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授课费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合计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　</w:t>
            </w:r>
          </w:p>
        </w:tc>
      </w:tr>
      <w:tr>
        <w:trPr>
          <w:trHeight w:val="78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经办人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年   月    日</w:t>
            </w:r>
          </w:p>
        </w:tc>
      </w:tr>
      <w:tr>
        <w:trPr>
          <w:trHeight w:val="13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部门意见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年   月    日</w:t>
            </w:r>
          </w:p>
        </w:tc>
      </w:tr>
      <w:tr>
        <w:trPr>
          <w:trHeight w:val="148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分管领导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意见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年   月    日</w:t>
            </w:r>
          </w:p>
        </w:tc>
      </w:tr>
      <w:tr>
        <w:trPr>
          <w:trHeight w:val="13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主要领导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意见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年   月    日</w:t>
            </w:r>
          </w:p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附件3</w:t>
      </w:r>
    </w:p>
    <w:tbl>
      <w:tblPr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1"/>
        <w:gridCol w:w="1834"/>
        <w:gridCol w:w="1549"/>
        <w:gridCol w:w="3303"/>
        <w:gridCol w:w="30"/>
      </w:tblGrid>
      <w:tr>
        <w:trPr>
          <w:trHeight w:val="1020"/>
        </w:trPr>
        <w:tc>
          <w:tcPr>
            <w:tcW w:w="8648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宋体" w:eastAsia="宋体" w:hint="eastAsia"/>
                <w:b/>
                <w:bCs/>
                <w:i w:val="0"/>
                <w:iCs w:val="0"/>
                <w:vanish w:val="0"/>
                <w:color w:val="auto"/>
                <w:sz w:val="40"/>
                <w:szCs w:val="40"/>
              </w:rPr>
            </w:pPr>
            <w:r>
              <w:rPr>
                <w:rFonts w:ascii="宋体" w:eastAsia="宋体" w:hint="eastAsia"/>
                <w:b/>
                <w:bCs/>
                <w:i w:val="0"/>
                <w:iCs w:val="0"/>
                <w:vanish w:val="0"/>
                <w:color w:val="auto"/>
                <w:sz w:val="44"/>
                <w:szCs w:val="44"/>
              </w:rPr>
              <w:t>省总工会干部外出授课审批表</w:t>
            </w:r>
          </w:p>
        </w:tc>
      </w:tr>
      <w:tr>
        <w:trPr>
          <w:trHeight w:val="66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单位职务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宋体" w:eastAsia="宋体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</w:p>
        </w:tc>
        <w:tc>
          <w:tcPr/>
          <w:p/>
        </w:tc>
      </w:tr>
      <w:tr>
        <w:trPr>
          <w:trHeight w:val="923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邀请授课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24"/>
                <w:szCs w:val="24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24"/>
                <w:szCs w:val="24"/>
              </w:rPr>
              <w:t>（附邀请单位公函）</w:t>
            </w:r>
          </w:p>
        </w:tc>
        <w:tc>
          <w:tcPr/>
          <w:p/>
        </w:tc>
      </w:tr>
      <w:tr>
        <w:trPr>
          <w:trHeight w:val="65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授课内容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</w:p>
        </w:tc>
        <w:tc>
          <w:tcPr/>
          <w:p/>
        </w:tc>
      </w:tr>
      <w:tr>
        <w:trPr>
          <w:trHeight w:val="57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授课时间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</w:p>
        </w:tc>
        <w:tc>
          <w:tcPr/>
          <w:p/>
        </w:tc>
      </w:tr>
      <w:tr>
        <w:trPr>
          <w:trHeight w:val="62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授课地点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lef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</w:p>
        </w:tc>
        <w:tc>
          <w:tcPr/>
          <w:p/>
        </w:tc>
      </w:tr>
      <w:tr>
        <w:trPr>
          <w:trHeight w:val="135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部门意见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righ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年  月  日</w:t>
            </w:r>
          </w:p>
        </w:tc>
        <w:tc>
          <w:tcPr/>
          <w:p/>
        </w:tc>
      </w:tr>
      <w:tr>
        <w:trPr>
          <w:trHeight w:val="135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组织人事</w:t>
              <w:br/>
              <w:t>部门意见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righ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br/>
              <w:t>年  月  日</w:t>
            </w:r>
          </w:p>
        </w:tc>
        <w:tc>
          <w:tcPr/>
          <w:p/>
        </w:tc>
      </w:tr>
      <w:tr>
        <w:trPr>
          <w:trHeight w:val="2096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分管领导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righ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br/>
              <w:br/>
              <w:t>年  月  日</w:t>
            </w:r>
          </w:p>
        </w:tc>
        <w:tc>
          <w:tcPr/>
          <w:p/>
        </w:tc>
      </w:tr>
      <w:tr>
        <w:trPr>
          <w:trHeight w:val="214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主要领导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center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spacing w:before="0" w:beforeAutospacing="0" w:after="0" w:afterAutospacing="0"/>
              <w:jc w:val="right"/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</w:pPr>
            <w:r>
              <w:rPr>
                <w:rFonts w:ascii="仿宋" w:eastAsia="仿宋" w:hint="eastAsia"/>
                <w:b w:val="0"/>
                <w:bCs w:val="0"/>
                <w:i w:val="0"/>
                <w:iCs w:val="0"/>
                <w:vanish w:val="0"/>
                <w:color w:val="auto"/>
                <w:sz w:val="32"/>
                <w:szCs w:val="32"/>
              </w:rPr>
              <w:br/>
              <w:br/>
              <w:t>年  月  日</w:t>
            </w:r>
          </w:p>
        </w:tc>
        <w:tc>
          <w:tcPr/>
          <w:p/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  <w:r>
        <w:rPr>
          <w:rFonts w:ascii="黑体" w:eastAsia="黑体" w:hint="eastAsia"/>
          <w:vanish w:val="0"/>
          <w:sz w:val="32"/>
          <w:szCs w:val="32"/>
        </w:rPr>
        <w:t>附件4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</w:p>
    <w:tbl>
      <w:tblPr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634"/>
        <w:gridCol w:w="960"/>
        <w:gridCol w:w="864"/>
        <w:gridCol w:w="912"/>
        <w:gridCol w:w="972"/>
        <w:gridCol w:w="1428"/>
        <w:gridCol w:w="962"/>
      </w:tblGrid>
      <w:tr>
        <w:trPr>
          <w:trHeight w:val="1000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宋体" w:eastAsia="宋体" w:hint="eastAsia"/>
                <w:b/>
                <w:bCs/>
                <w:vanish w:val="0"/>
                <w:sz w:val="36"/>
                <w:szCs w:val="36"/>
              </w:rPr>
            </w:pPr>
            <w:r>
              <w:rPr>
                <w:rFonts w:ascii="宋体" w:eastAsia="宋体" w:hint="eastAsia"/>
                <w:b/>
                <w:bCs/>
                <w:vanish w:val="0"/>
                <w:sz w:val="36"/>
                <w:szCs w:val="36"/>
              </w:rPr>
              <w:t> </w:t>
            </w:r>
            <w:r>
              <w:rPr>
                <w:rFonts w:ascii="宋体" w:eastAsia="宋体" w:hint="eastAsia"/>
                <w:b/>
                <w:bCs/>
                <w:vanish w:val="0"/>
                <w:sz w:val="44"/>
                <w:szCs w:val="44"/>
              </w:rPr>
              <w:t xml:space="preserve">    年第   季度培训情况表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培训项目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内容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时间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地点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人数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费用金额</w:t>
              <w:br/>
              <w:t>（单位：元）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仿宋_GB2312" w:eastAsia="仿宋_GB2312" w:hint="eastAsia"/>
                <w:vanish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vanish w:val="0"/>
                <w:sz w:val="24"/>
                <w:szCs w:val="24"/>
              </w:rPr>
              <w:t>备注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  <w:tr>
        <w:trPr>
          <w:trHeight w:val="95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宋体" w:eastAsia="宋体" w:hint="eastAsia"/>
                <w:vanish w:val="0"/>
                <w:sz w:val="24"/>
                <w:szCs w:val="24"/>
              </w:rPr>
            </w:pPr>
            <w:r>
              <w:rPr>
                <w:rFonts w:ascii="宋体" w:eastAsia="宋体" w:hint="eastAsia"/>
                <w:vanish w:val="0"/>
                <w:sz w:val="24"/>
                <w:szCs w:val="24"/>
              </w:rPr>
              <w:t>　</w:t>
            </w:r>
          </w:p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黑体" w:eastAsia="黑体" w:hint="eastAsia"/>
          <w:b w:val="0"/>
          <w:bCs w:val="0"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附件5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黑体" w:eastAsia="黑体" w:hint="eastAsia"/>
          <w:b w:val="0"/>
          <w:bCs w:val="0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讲课费领取单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</w:p>
    <w:tbl>
      <w:tblPr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584"/>
        <w:gridCol w:w="896"/>
        <w:gridCol w:w="776"/>
        <w:gridCol w:w="1420"/>
        <w:gridCol w:w="908"/>
        <w:gridCol w:w="1936"/>
      </w:tblGrid>
      <w:tr>
        <w:trPr>
          <w:trHeight w:val="9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姓 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身份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证号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联系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电话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单 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职务职称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课时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课 题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课 酬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账</w:t>
            </w: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户 名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个 税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开户行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合 计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  <w:tc>
          <w:tcPr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账 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</w:p>
        </w:tc>
      </w:tr>
      <w:tr>
        <w:trPr>
          <w:trHeight w:val="959"/>
        </w:trPr>
        <w:tc>
          <w:tcPr>
            <w:tcW w:w="3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vanish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授课教师签名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atLeast"/>
              <w:jc w:val="center"/>
              <w:rPr>
                <w:rFonts w:ascii="仿宋_GB2312" w:eastAsia="仿宋_GB2312" w:hint="eastAsia"/>
                <w:b/>
                <w:bCs/>
                <w:vanish w:val="0"/>
                <w:sz w:val="36"/>
                <w:szCs w:val="36"/>
              </w:rPr>
            </w:pPr>
          </w:p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仿宋_GB2312" w:eastAsia="仿宋_GB2312" w:hint="eastAsia"/>
          <w:vanish w:val="0"/>
          <w:sz w:val="32"/>
          <w:szCs w:val="32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附件6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/>
        <w:snapToGrid w:val="0"/>
        <w:spacing w:before="0" w:beforeAutospacing="0" w:after="0" w:afterAutospacing="0" w:line="360" w:lineRule="auto"/>
        <w:contextualSpacing w:val="0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培训费预算单</w:t>
      </w:r>
    </w:p>
    <w:tbl>
      <w:tblPr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9"/>
      </w:tblGrid>
      <w:t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培训项目名称及类别：                （XX类）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培训时间：          年   月   日至   月   日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培训天数（含报到和离开时间）：       天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培训地点：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培训对象：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总人数：     人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3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其中：参训人员      人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工作人员      人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培训费预算：   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3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其中：师资费 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住宿费 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伙食费 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培训场地费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培训资料费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交通费 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2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其它费用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5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（1）             元</w:t>
            </w:r>
          </w:p>
        </w:tc>
      </w:tr>
      <w:t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600" w:lineRule="atLeast"/>
              <w:ind w:firstLine="1500"/>
              <w:contextualSpacing w:val="0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（2）             元</w:t>
            </w:r>
          </w:p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/>
        <w:snapToGrid w:val="0"/>
        <w:spacing w:before="0" w:beforeAutospacing="0" w:after="0" w:afterAutospacing="0" w:line="600" w:lineRule="atLeast"/>
        <w:ind w:firstLine="300"/>
        <w:contextualSpacing w:val="0"/>
        <w:rPr>
          <w:rFonts w:ascii="宋体" w:eastAsia="宋体" w:hint="eastAsia"/>
          <w:vanish w:val="0"/>
          <w:sz w:val="30"/>
          <w:szCs w:val="30"/>
        </w:rPr>
      </w:pPr>
      <w:r>
        <w:rPr>
          <w:rFonts w:ascii="仿宋_GB2312" w:eastAsia="仿宋_GB2312" w:hint="eastAsia"/>
          <w:vanish w:val="0"/>
          <w:sz w:val="30"/>
          <w:szCs w:val="30"/>
        </w:rPr>
        <w:t xml:space="preserve">审批人：         财务审核人：         经办人： </w:t>
      </w:r>
      <w:r>
        <w:rPr>
          <w:rFonts w:ascii="宋体" w:eastAsia="宋体" w:hint="eastAsia"/>
          <w:vanish w:val="0"/>
          <w:sz w:val="30"/>
          <w:szCs w:val="30"/>
        </w:rPr>
        <w:t xml:space="preserve">        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b/>
          <w:bCs/>
          <w:vanish w:val="0"/>
          <w:sz w:val="32"/>
          <w:szCs w:val="32"/>
        </w:rPr>
      </w:pPr>
      <w:r>
        <w:rPr>
          <w:rFonts w:ascii="黑体" w:eastAsia="黑体" w:hint="eastAsia"/>
          <w:b w:val="0"/>
          <w:bCs w:val="0"/>
          <w:vanish w:val="0"/>
          <w:sz w:val="32"/>
          <w:szCs w:val="32"/>
        </w:rPr>
        <w:t>附件7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/>
        <w:snapToGrid w:val="0"/>
        <w:spacing w:before="0" w:beforeAutospacing="0" w:after="0" w:afterAutospacing="0" w:line="360" w:lineRule="auto"/>
        <w:contextualSpacing w:val="0"/>
        <w:jc w:val="center"/>
        <w:rPr>
          <w:rFonts w:ascii="宋体" w:eastAsia="宋体" w:hint="eastAsia"/>
          <w:b/>
          <w:bCs/>
          <w:vanish w:val="0"/>
          <w:sz w:val="44"/>
          <w:szCs w:val="44"/>
        </w:rPr>
      </w:pPr>
      <w:r>
        <w:rPr>
          <w:rFonts w:ascii="宋体" w:eastAsia="宋体" w:hint="eastAsia"/>
          <w:b/>
          <w:bCs/>
          <w:vanish w:val="0"/>
          <w:sz w:val="44"/>
          <w:szCs w:val="44"/>
        </w:rPr>
        <w:t>培训费结算单</w:t>
      </w:r>
    </w:p>
    <w:tbl>
      <w:tblPr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7"/>
      </w:tblGrid>
      <w:tr>
        <w:trPr>
          <w:trHeight w:val="6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培训项目名称及类别：                （XX类）</w:t>
            </w:r>
          </w:p>
        </w:tc>
      </w:tr>
      <w:tr>
        <w:trPr>
          <w:trHeight w:val="4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500" w:lineRule="atLeast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培训时间：         年   月   日至   月   日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培训天数（含报到和离开时间）：       天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培训地点：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培训对象：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总人数：     人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28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其中：参训人员      人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工作人员      人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师资费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 xml:space="preserve">  其中：讲课费        元    城市间交通费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 xml:space="preserve">        住宿费        元    伙食费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除师资费外，培训费预算：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实际开支        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28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其中：住宿费  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伙食费  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培训场地费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培训资料费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交通费  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12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其它费用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40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（1）                  元</w:t>
            </w:r>
          </w:p>
        </w:tc>
      </w:tr>
      <w:t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/>
              <w:snapToGrid w:val="0"/>
              <w:spacing w:before="0" w:beforeAutospacing="0" w:after="0" w:afterAutospacing="0" w:line="500" w:lineRule="atLeast"/>
              <w:ind w:firstLine="1400"/>
              <w:contextualSpacing w:val="0"/>
              <w:rPr>
                <w:rFonts w:ascii="仿宋_GB2312" w:eastAsia="仿宋_GB2312" w:hint="eastAsia"/>
                <w:vanish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vanish w:val="0"/>
                <w:sz w:val="28"/>
                <w:szCs w:val="28"/>
              </w:rPr>
              <w:t>（2）                  元</w:t>
            </w:r>
          </w:p>
        </w:tc>
      </w:tr>
    </w:tbl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/>
        <w:snapToGrid w:val="0"/>
        <w:spacing w:before="0" w:beforeAutospacing="0" w:after="0" w:afterAutospacing="0" w:line="560" w:lineRule="atLeast"/>
        <w:ind w:firstLine="420"/>
        <w:contextualSpacing w:val="0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28"/>
          <w:szCs w:val="28"/>
        </w:rPr>
        <w:t xml:space="preserve">审批人：         财务审核人：         经办人： </w:t>
      </w:r>
      <w:r>
        <w:rPr>
          <w:rFonts w:ascii="宋体" w:eastAsia="宋体" w:hint="eastAsia"/>
          <w:vanish w:val="0"/>
          <w:sz w:val="30"/>
          <w:szCs w:val="30"/>
        </w:rPr>
        <w:t xml:space="preserve">  </w:t>
      </w: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/>
          <w:vanish w:val="0"/>
          <w:sz w:val="21"/>
          <w:szCs w:val="21"/>
        </w:rPr>
      </w:pPr>
    </w:p>
    <w:p>
      <w:pPr>
        <w:pStyle w:val="127"/>
        <w:pBdr>
          <w:top w:val="single" w:sz="8" w:space="1" w:color="auto"/>
          <w:left w:val="none" w:sz="0" w:space="0" w:color="auto"/>
          <w:bottom w:val="single" w:sz="8" w:space="1" w:color="auto"/>
          <w:right w:val="none" w:sz="0" w:space="0" w:color="auto"/>
        </w:pBdr>
        <w:spacing w:before="0" w:beforeAutospacing="0" w:after="0" w:afterAutospacing="0"/>
        <w:rPr>
          <w:rFonts w:ascii="宋体" w:eastAsia="宋体" w:hint="eastAsia"/>
          <w:vanish w:val="0"/>
          <w:sz w:val="21"/>
          <w:szCs w:val="21"/>
        </w:rPr>
      </w:pPr>
      <w:r>
        <w:rPr>
          <w:rFonts w:ascii="仿宋_GB2312" w:eastAsia="仿宋_GB2312" w:hint="eastAsia"/>
          <w:vanish w:val="0"/>
          <w:sz w:val="30"/>
          <w:szCs w:val="30"/>
        </w:rPr>
        <w:t xml:space="preserve">  福建省总工会办公室                 2018年3月28日印发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26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16">
    <w:name w:val="index 6"/>
    <w:basedOn w:val="0"/>
    <w:autoRedefine/>
    <w:next w:val="0"/>
    <w:pPr>
      <w:ind w:left="2100"/>
    </w:pPr>
  </w:style>
  <w:style w:type="paragraph" w:styleId="18">
    <w:name w:val="index 8"/>
    <w:basedOn w:val="0"/>
    <w:autoRedefine/>
    <w:next w:val="0"/>
    <w:pPr>
      <w:ind w:left="2940"/>
    </w:pPr>
  </w:style>
  <w:style w:type="paragraph" w:styleId="19">
    <w:name w:val="index 9"/>
    <w:basedOn w:val="0"/>
    <w:autoRedefine/>
    <w:next w:val="0"/>
    <w:pPr>
      <w:ind w:left="3360"/>
    </w:pPr>
  </w:style>
  <w:style w:type="paragraph" w:styleId="20">
    <w:name w:val="toc 1"/>
    <w:basedOn w:val="0"/>
    <w:autoRedefine/>
    <w:next w:val="0"/>
  </w:style>
  <w:style w:type="paragraph" w:styleId="23">
    <w:name w:val="toc 4"/>
    <w:basedOn w:val="0"/>
    <w:autoRedefine/>
    <w:next w:val="0"/>
    <w:pPr>
      <w:ind w:left="1260"/>
    </w:pPr>
  </w:style>
  <w:style w:type="paragraph" w:customStyle="1" w:styleId="123">
    <w:name w:val="p22"/>
    <w:next w:val="16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700" w:lineRule="atLeast"/>
      <w:ind w:left="0" w:right="0" w:firstLine="42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32"/>
      <w:szCs w:val="32"/>
      <w:u w:val="none" w:color="auto"/>
      <w:vertAlign w:val="baseline"/>
      <w:em w:val="none"/>
      <w:lang w:val="en-US" w:eastAsia="zh-CN"/>
    </w:rPr>
  </w:style>
  <w:style w:type="paragraph" w:customStyle="1" w:styleId="124">
    <w:name w:val="p18"/>
    <w:next w:val="2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  <w:style w:type="paragraph" w:customStyle="1" w:styleId="125">
    <w:name w:val="p19"/>
    <w:next w:val="19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  <w:style w:type="paragraph" w:customStyle="1" w:styleId="126">
    <w:name w:val="p23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  <w:style w:type="paragraph" w:customStyle="1" w:styleId="127">
    <w:name w:val="p0"/>
    <w:next w:val="23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  <w:style w:type="paragraph" w:customStyle="1" w:styleId="128">
    <w:name w:val="p20"/>
    <w:next w:val="18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13</Pages>
  <Words>2503</Words>
  <Characters>2536</Characters>
  <Lines>404</Lines>
  <Paragraphs>171</Paragraphs>
  <CharactersWithSpaces>3489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ls</dc:creator>
  <cp:lastModifiedBy>ls</cp:lastModifiedBy>
  <cp:revision>1</cp:revision>
  <dcterms:created xsi:type="dcterms:W3CDTF">2020-01-19T06:46:43Z</dcterms:created>
  <dcterms:modified xsi:type="dcterms:W3CDTF">2020-01-19T06:47:42Z</dcterms:modified>
</cp:coreProperties>
</file>